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F8F1" w14:textId="63560ED5" w:rsidR="00805C96" w:rsidRPr="001467A4" w:rsidRDefault="00805C96" w:rsidP="001467A4">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after="0" w:line="240" w:lineRule="auto"/>
        <w:ind w:right="281"/>
        <w:jc w:val="both"/>
        <w:rPr>
          <w:rFonts w:ascii="Times New Roman" w:hAnsi="Times New Roman" w:cs="Times New Roman"/>
          <w:sz w:val="24"/>
          <w:szCs w:val="24"/>
        </w:rPr>
      </w:pPr>
      <w:r>
        <w:rPr>
          <w:rFonts w:ascii="Times New Roman" w:hAnsi="Times New Roman"/>
          <w:i/>
          <w:color w:val="000000"/>
          <w:sz w:val="16"/>
        </w:rPr>
        <w:t xml:space="preserve"> </w:t>
      </w:r>
      <w:r>
        <w:rPr>
          <w:rFonts w:ascii="Times New Roman" w:hAnsi="Times New Roman"/>
          <w:b/>
          <w:sz w:val="26"/>
        </w:rPr>
        <w:t>INSTRUCTIONS ON RIGHTS AND OBLIGATIONS</w:t>
      </w:r>
    </w:p>
    <w:p w14:paraId="67D80712"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40" w:after="0" w:line="240" w:lineRule="auto"/>
        <w:ind w:left="360" w:hanging="360"/>
        <w:jc w:val="center"/>
        <w:rPr>
          <w:rFonts w:ascii="Times New Roman" w:hAnsi="Times New Roman" w:cs="Times New Roman"/>
          <w:b/>
          <w:bCs/>
          <w:sz w:val="10"/>
          <w:szCs w:val="10"/>
          <w:lang w:val="x-none" w:eastAsia="x-none"/>
        </w:rPr>
      </w:pPr>
    </w:p>
    <w:p w14:paraId="65942F5A"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x-none" w:eastAsia="x-none"/>
        </w:rPr>
      </w:pPr>
    </w:p>
    <w:p w14:paraId="00E98C88" w14:textId="7BDFCB02"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rPr>
      </w:pPr>
      <w:r>
        <w:rPr>
          <w:rFonts w:ascii="Times New Roman" w:hAnsi="Times New Roman"/>
          <w:b/>
          <w:color w:val="000000"/>
          <w:sz w:val="21"/>
        </w:rPr>
        <w:t>A party has the right to submit, within …… days from the date of pronouncement of the judgment, a motion for a statement of grounds to be prepared in writing and served.</w:t>
      </w:r>
      <w:r>
        <w:rPr>
          <w:rFonts w:ascii="Times New Roman" w:hAnsi="Times New Roman"/>
          <w:color w:val="000000"/>
          <w:sz w:val="21"/>
        </w:rPr>
        <w:t xml:space="preserve"> </w:t>
      </w:r>
      <w:r>
        <w:rPr>
          <w:rFonts w:ascii="Times New Roman" w:hAnsi="Times New Roman"/>
          <w:b/>
          <w:color w:val="000000"/>
          <w:sz w:val="21"/>
        </w:rPr>
        <w:t xml:space="preserve">A defendant deprived of liberty who does not have a defence counsel and – despite a motion submitted for the defendant </w:t>
      </w:r>
      <w:r>
        <w:rPr>
          <w:rFonts w:ascii="Times New Roman" w:hAnsi="Times New Roman"/>
          <w:b/>
          <w:color w:val="000000"/>
          <w:sz w:val="20"/>
        </w:rPr>
        <w:t>to be brought to the trial date at which the judgment was announced – was not present at the announcement of the judgment, has the right to submit a motion for the statement of grounds to be prepared in writing and served within 7 days of the date the judgment was served on them.</w:t>
      </w:r>
    </w:p>
    <w:p w14:paraId="1AC0E20C"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rPr>
      </w:pPr>
      <w:r>
        <w:rPr>
          <w:rFonts w:ascii="Times New Roman" w:hAnsi="Times New Roman"/>
          <w:color w:val="000000"/>
          <w:sz w:val="20"/>
        </w:rPr>
        <w:t>Preparation of a statement of grounds ex officio shall not exempt a party from filing a motion for service of the statement of grounds. The motion shall be submitted in writing and specify:</w:t>
      </w:r>
    </w:p>
    <w:p w14:paraId="74ACB961" w14:textId="77777777" w:rsidR="00805C96" w:rsidRPr="00885058" w:rsidRDefault="00805C96" w:rsidP="00885058">
      <w:pPr>
        <w:numPr>
          <w:ilvl w:val="0"/>
          <w:numId w:val="1"/>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rPr>
      </w:pPr>
      <w:r>
        <w:rPr>
          <w:rFonts w:ascii="Times New Roman" w:hAnsi="Times New Roman"/>
          <w:color w:val="000000"/>
          <w:sz w:val="20"/>
        </w:rPr>
        <w:t>the designation of the authority to which it is addressed, and the case to which it relates;</w:t>
      </w:r>
    </w:p>
    <w:p w14:paraId="2150AD79"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rPr>
      </w:pPr>
      <w:r>
        <w:rPr>
          <w:rFonts w:ascii="Times New Roman" w:hAnsi="Times New Roman"/>
          <w:color w:val="000000"/>
          <w:sz w:val="20"/>
        </w:rPr>
        <w:t>2)  </w:t>
      </w:r>
      <w:r>
        <w:rPr>
          <w:rFonts w:ascii="Times New Roman" w:hAnsi="Times New Roman"/>
          <w:sz w:val="20"/>
        </w:rPr>
        <w:t>the designation and address of the party filing the pleading, and – in the first pleading filed in the case – the telephone number, fax number and e-mail address or a statement of absence of such means of communication;</w:t>
      </w:r>
    </w:p>
    <w:p w14:paraId="2F1BB421"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rPr>
      </w:pPr>
      <w:r>
        <w:rPr>
          <w:rFonts w:ascii="Times New Roman" w:hAnsi="Times New Roman"/>
          <w:color w:val="000000"/>
          <w:sz w:val="20"/>
        </w:rPr>
        <w:t>3) the text of the motion, whether it concerns the entire judgment or some of the acts that the prosecutor accused the defendant of, or only the decision on the sentence and other legal consequences of the act, and the designation of the defendant when the motion is not filed by the defendant;</w:t>
      </w:r>
    </w:p>
    <w:p w14:paraId="54DA202B" w14:textId="77777777" w:rsidR="00805C96" w:rsidRPr="00885058"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rPr>
      </w:pPr>
      <w:r>
        <w:rPr>
          <w:rFonts w:ascii="Times New Roman" w:hAnsi="Times New Roman"/>
          <w:color w:val="000000"/>
          <w:sz w:val="20"/>
        </w:rPr>
        <w:t>4) the date and signature of the person submitting the pleading (if a person cannot sign the document, the document shall be signed by a person authorized by such a person, indicating the reason for placing their signature)</w:t>
      </w:r>
      <w:r>
        <w:rPr>
          <w:rFonts w:ascii="Times New Roman" w:hAnsi="Times New Roman"/>
          <w:sz w:val="20"/>
        </w:rPr>
        <w:t>.</w:t>
      </w:r>
    </w:p>
    <w:p w14:paraId="4F10E4B7"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rPr>
      </w:pPr>
      <w:r>
        <w:rPr>
          <w:rFonts w:ascii="Times New Roman" w:hAnsi="Times New Roman"/>
          <w:b/>
          <w:color w:val="000000"/>
          <w:sz w:val="20"/>
        </w:rPr>
        <w:t>A motion submitted by an unauthorized person, after the time limit or where formal deficiencies are not corrected in time by the applicant shall not be accepted</w:t>
      </w:r>
      <w:r>
        <w:rPr>
          <w:rFonts w:ascii="Times New Roman" w:hAnsi="Times New Roman"/>
          <w:color w:val="000000"/>
          <w:sz w:val="20"/>
        </w:rPr>
        <w:t xml:space="preserve"> (Article 119, Article 422 § 1, § 2 and § 3) 2).                                                                                                                                                                                </w:t>
      </w:r>
    </w:p>
    <w:p w14:paraId="1E3C505D" w14:textId="06FF997A" w:rsidR="00805C96" w:rsidRPr="00885058" w:rsidRDefault="00885058" w:rsidP="00885058">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jc w:val="both"/>
        <w:rPr>
          <w:rFonts w:ascii="Times New Roman" w:hAnsi="Times New Roman" w:cs="Times New Roman"/>
          <w:b/>
          <w:bCs/>
          <w:color w:val="000000"/>
          <w:sz w:val="20"/>
          <w:szCs w:val="20"/>
        </w:rPr>
      </w:pPr>
      <w:r>
        <w:rPr>
          <w:rFonts w:ascii="Times New Roman" w:hAnsi="Times New Roman"/>
          <w:color w:val="000000"/>
          <w:sz w:val="20"/>
        </w:rPr>
        <w:tab/>
      </w:r>
      <w:r>
        <w:rPr>
          <w:rFonts w:ascii="Times New Roman" w:hAnsi="Times New Roman"/>
          <w:b/>
          <w:color w:val="000000"/>
          <w:sz w:val="20"/>
        </w:rPr>
        <w:t>The judgment of the court of the first instance may be appealed against by the parties and the obligated party</w:t>
      </w:r>
      <w:r>
        <w:rPr>
          <w:rFonts w:ascii="Times New Roman" w:hAnsi="Times New Roman"/>
          <w:color w:val="000000"/>
          <w:sz w:val="20"/>
        </w:rPr>
        <w:t xml:space="preserve"> (Article 444).</w:t>
      </w:r>
    </w:p>
    <w:p w14:paraId="0AE3D2A9"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b/>
          <w:bCs/>
          <w:sz w:val="20"/>
          <w:szCs w:val="20"/>
        </w:rPr>
      </w:pPr>
      <w:r>
        <w:rPr>
          <w:rFonts w:ascii="Times New Roman" w:hAnsi="Times New Roman"/>
          <w:b/>
          <w:sz w:val="20"/>
        </w:rPr>
        <w:t>The appeal shall be filed in writing to the court that issued the appealed judgment within</w:t>
      </w:r>
      <w:r>
        <w:rPr>
          <w:rFonts w:ascii="Times New Roman" w:hAnsi="Times New Roman"/>
          <w:b/>
          <w:color w:val="000000"/>
          <w:sz w:val="20"/>
        </w:rPr>
        <w:t xml:space="preserve">14 days from the date of service of the judgment with the statement of grounds </w:t>
      </w:r>
      <w:r>
        <w:rPr>
          <w:rFonts w:ascii="Times New Roman" w:hAnsi="Times New Roman"/>
          <w:sz w:val="20"/>
        </w:rPr>
        <w:t>(Article 428 § 1, Article 445 § 1).</w:t>
      </w:r>
    </w:p>
    <w:p w14:paraId="61154CD3"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rPr>
      </w:pPr>
      <w:r>
        <w:rPr>
          <w:rFonts w:ascii="Times New Roman" w:hAnsi="Times New Roman"/>
          <w:color w:val="000000"/>
          <w:sz w:val="20"/>
        </w:rPr>
        <w:t>An appeal as to the guilt is considered to be filed against the entire judgment, and an appeal as to the sentence is considered to be filed against the entire ruling on the sentence and punitive measures. An appeal against a criminal measure, a compensatory measure or a forfeiture shall be considered to have been filed against the entirety of the ruling on criminal measures or on compensatory measures or on forfeiture, respectively (Article 447 § 1-3).</w:t>
      </w:r>
    </w:p>
    <w:p w14:paraId="093113AC" w14:textId="77777777" w:rsidR="00805C96" w:rsidRPr="00885058"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rPr>
      </w:pPr>
      <w:r>
        <w:rPr>
          <w:rFonts w:ascii="Times New Roman" w:hAnsi="Times New Roman"/>
          <w:color w:val="000000"/>
          <w:sz w:val="20"/>
        </w:rPr>
        <w:t>In the appeal, allegations that were not or could not have been the subject of a complaint may be raised (Article 447 § 4).</w:t>
      </w:r>
    </w:p>
    <w:p w14:paraId="3ACC58DE"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rPr>
      </w:pPr>
      <w:r>
        <w:rPr>
          <w:rFonts w:ascii="Times New Roman" w:hAnsi="Times New Roman"/>
          <w:color w:val="000000"/>
          <w:sz w:val="20"/>
        </w:rPr>
        <w:t>An appeal cannot be based on an error in the factual findings adopted as the basis of the decision if it could have affected the content of the decision, as well as gross disproportionality of the sentence, punitive measure, penalty assessment or wrongful application or non-application of a protective measure, forfeiture or another measure, related to the content of the concluded agreement on the pronouncement of a conviction, imposition of a specific sentence or criminal measure, the adjudication of a forfeiture or compensatory measure or ruling on bearing the costs of the trial (Article 447 § 5).</w:t>
      </w:r>
      <w:r>
        <w:rPr>
          <w:rFonts w:ascii="Times New Roman" w:hAnsi="Times New Roman"/>
          <w:sz w:val="20"/>
        </w:rPr>
        <w:t xml:space="preserve"> </w:t>
      </w:r>
    </w:p>
    <w:p w14:paraId="4C7A1D01"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rPr>
      </w:pPr>
      <w:r>
        <w:rPr>
          <w:rFonts w:ascii="Times New Roman" w:hAnsi="Times New Roman"/>
          <w:color w:val="000000"/>
          <w:sz w:val="20"/>
        </w:rPr>
        <w:t xml:space="preserve">An appeal cannot be based solely on allegations that could be taken into account in the form of correcting a clerical or calculation error and calculation of time limits in the judgment or the statement of grounds to it, in the form of ruling on forfeiture, crediting the period of actual deprivation of liberty, the period of detention of a driving licence or another relevant document, or the period of the defendant’s suspension from official duties or </w:t>
      </w:r>
      <w:r>
        <w:rPr>
          <w:rFonts w:ascii="Times New Roman" w:hAnsi="Times New Roman"/>
          <w:color w:val="000000"/>
          <w:sz w:val="20"/>
        </w:rPr>
        <w:lastRenderedPageBreak/>
        <w:t>performance of an occupation, or an order to refrain from carrying on specific business or from driving a certain type of vehicles, or a prohibition from bidding for public contracts for the duration of the proceedings, the imposition of an obligation to return a driving licence or material evidence, and in the form of a ruling on the costs of proceedings (Art. 447§ 6).</w:t>
      </w:r>
    </w:p>
    <w:p w14:paraId="03B79FD6" w14:textId="77777777" w:rsidR="00805C96" w:rsidRPr="00885058"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b/>
          <w:sz w:val="20"/>
        </w:rPr>
        <w:t>An appeal filed past the time limit or by an unauthorized person or an appeal inadmissible by law shall not be accepted</w:t>
      </w:r>
      <w:r>
        <w:rPr>
          <w:rFonts w:ascii="Times New Roman" w:hAnsi="Times New Roman"/>
          <w:sz w:val="20"/>
        </w:rPr>
        <w:t xml:space="preserve"> (Article 429 § 1).</w:t>
      </w:r>
    </w:p>
    <w:p w14:paraId="367B7A82" w14:textId="1645E8C0" w:rsidR="00805C96" w:rsidRPr="00885058" w:rsidRDefault="00805C96"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sz w:val="20"/>
        </w:rPr>
        <w:tab/>
      </w:r>
      <w:r>
        <w:rPr>
          <w:rFonts w:ascii="Times New Roman" w:hAnsi="Times New Roman"/>
          <w:color w:val="000000"/>
          <w:sz w:val="20"/>
        </w:rPr>
        <w:t xml:space="preserve">The defendant shall have the right to be assisted in the preparation of the appeal by a defence counsel appointed by them, and </w:t>
      </w:r>
      <w:r>
        <w:rPr>
          <w:rFonts w:ascii="Times New Roman" w:hAnsi="Times New Roman"/>
          <w:sz w:val="20"/>
        </w:rPr>
        <w:t>a party other than the defendant may appoint an attorney.</w:t>
      </w:r>
      <w:r w:rsidR="003F6EC0">
        <w:rPr>
          <w:rFonts w:ascii="Times New Roman" w:hAnsi="Times New Roman"/>
          <w:sz w:val="20"/>
        </w:rPr>
        <w:t xml:space="preserve"> </w:t>
      </w:r>
      <w:r>
        <w:rPr>
          <w:rFonts w:ascii="Times New Roman" w:hAnsi="Times New Roman"/>
          <w:color w:val="000000"/>
          <w:sz w:val="20"/>
        </w:rPr>
        <w:t>Until the defendant who is deprived of liberty appoints a defence counsel, the defence counsel may be appointed by another person. An appeal against a judgment of a regional court, which does not come from a prosecutor, should be drawn up and signed by an attorney-at-law, legal counsel or counsel for the General Prosecutor’s Office of the Republic of Poland. Expenses related to the appointment of a defence counsel or attorney shall be borne by the party who appointed them (Article 6, Article 83 § 1</w:t>
      </w:r>
      <w:r>
        <w:rPr>
          <w:rFonts w:ascii="Times New Roman" w:hAnsi="Times New Roman"/>
          <w:sz w:val="20"/>
        </w:rPr>
        <w:t>, Article 87 § 1, Article 446 § 1, Article 620).</w:t>
      </w:r>
    </w:p>
    <w:p w14:paraId="3A1795AF" w14:textId="77777777" w:rsidR="00805C96" w:rsidRPr="00885058" w:rsidRDefault="00805C96" w:rsidP="00885058">
      <w:pPr>
        <w:widowControl w:val="0"/>
        <w:tabs>
          <w:tab w:val="left" w:pos="284"/>
          <w:tab w:val="left" w:pos="10490"/>
          <w:tab w:val="left" w:pos="11057"/>
          <w:tab w:val="left" w:pos="11328"/>
          <w:tab w:val="left" w:pos="12036"/>
          <w:tab w:val="left" w:pos="12744"/>
          <w:tab w:val="left" w:pos="13452"/>
          <w:tab w:val="left" w:pos="14160"/>
          <w:tab w:val="left" w:pos="14868"/>
          <w:tab w:val="left" w:pos="15576"/>
          <w:tab w:val="left" w:pos="16284"/>
          <w:tab w:val="left" w:pos="16992"/>
          <w:tab w:val="left" w:pos="17700"/>
          <w:tab w:val="left" w:pos="1840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rPr>
      </w:pPr>
      <w:r>
        <w:rPr>
          <w:rFonts w:ascii="Times New Roman" w:hAnsi="Times New Roman"/>
          <w:color w:val="000000"/>
          <w:sz w:val="20"/>
        </w:rPr>
        <w:t xml:space="preserve">If a party does not have a defence counsel or attorney of choice, they may request that a defence counsel or attorney be appointed ex officio, also for the purpose of performing a specific action, if they duly demonstrate that they are unable to bear the costs of appointing a defence counsel or attorney of choice without detriment to the necessary support for themselves and their family. </w:t>
      </w:r>
      <w:r>
        <w:rPr>
          <w:rFonts w:ascii="Times New Roman" w:hAnsi="Times New Roman"/>
          <w:sz w:val="20"/>
        </w:rPr>
        <w:t xml:space="preserve">An attorney appointed ex officio shall be then selected from the list of attorneys. </w:t>
      </w:r>
      <w:r>
        <w:rPr>
          <w:rFonts w:ascii="Times New Roman" w:hAnsi="Times New Roman"/>
          <w:color w:val="000000"/>
          <w:sz w:val="20"/>
        </w:rPr>
        <w:t>The appointment of an ex officio attorney may be revoked if it turns out that the circumstances on the basis of which the attorney was appointed do not exist (Article 78 and Article 81a § 1 in conjunction with the second sentence of Article 88 § 1).</w:t>
      </w:r>
    </w:p>
    <w:p w14:paraId="35D626DA" w14:textId="24678C2F" w:rsidR="00805C96" w:rsidRPr="00885058"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hAnsi="Times New Roman" w:cs="Times New Roman"/>
          <w:sz w:val="20"/>
          <w:szCs w:val="20"/>
        </w:rPr>
      </w:pPr>
      <w:r>
        <w:rPr>
          <w:rFonts w:ascii="Times New Roman" w:hAnsi="Times New Roman"/>
          <w:color w:val="000000"/>
          <w:sz w:val="20"/>
        </w:rPr>
        <w:t xml:space="preserve"> The participation of a defence counsel in the proceedings shall not exclude the personal action of the defendant in the proceedings, and the participation of an attorney shall not exclude the personal action of a party other than the defendant in the proceedings (Article 86 § 2 in conjunction with the second sentence of Article</w:t>
      </w:r>
      <w:r w:rsidR="003F6EC0">
        <w:rPr>
          <w:rFonts w:ascii="Times New Roman" w:hAnsi="Times New Roman"/>
          <w:color w:val="000000"/>
          <w:sz w:val="20"/>
        </w:rPr>
        <w:t> </w:t>
      </w:r>
      <w:r>
        <w:rPr>
          <w:rFonts w:ascii="Times New Roman" w:hAnsi="Times New Roman"/>
          <w:color w:val="000000"/>
          <w:sz w:val="20"/>
        </w:rPr>
        <w:t>88</w:t>
      </w:r>
      <w:r w:rsidR="003F6EC0">
        <w:rPr>
          <w:rFonts w:ascii="Times New Roman" w:hAnsi="Times New Roman"/>
          <w:color w:val="000000"/>
          <w:sz w:val="20"/>
        </w:rPr>
        <w:t> </w:t>
      </w:r>
      <w:r>
        <w:rPr>
          <w:rFonts w:ascii="Times New Roman" w:hAnsi="Times New Roman"/>
          <w:color w:val="000000"/>
          <w:sz w:val="20"/>
        </w:rPr>
        <w:t>§</w:t>
      </w:r>
      <w:r w:rsidR="003F6EC0">
        <w:rPr>
          <w:rFonts w:ascii="Times New Roman" w:hAnsi="Times New Roman"/>
          <w:color w:val="000000"/>
          <w:sz w:val="20"/>
        </w:rPr>
        <w:t> </w:t>
      </w:r>
      <w:r>
        <w:rPr>
          <w:rFonts w:ascii="Times New Roman" w:hAnsi="Times New Roman"/>
          <w:color w:val="000000"/>
          <w:sz w:val="20"/>
        </w:rPr>
        <w:t>1).</w:t>
      </w:r>
      <w:r>
        <w:rPr>
          <w:rFonts w:ascii="Times New Roman" w:hAnsi="Times New Roman"/>
          <w:sz w:val="20"/>
        </w:rPr>
        <w:t xml:space="preserve"> </w:t>
      </w:r>
    </w:p>
    <w:p w14:paraId="750317E3" w14:textId="77777777" w:rsidR="00805C96" w:rsidRPr="00885058"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sz w:val="20"/>
        </w:rPr>
        <w:t>The day from which the time limit runs shall not be counted towards the time limits indicated above. If the end of this time limit falls on a day declared by law to be a holiday or Saturday, the action may be performed on the next day that is not a holiday or Saturday (Article 123 § 1 and § 3). The time limit shall be observed if, before that time limit, a motion for preparation of the statement of grounds in writing or an appeal is filed directly with the court or:</w:t>
      </w:r>
    </w:p>
    <w:p w14:paraId="12B85CF9" w14:textId="5D8C497A"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sz w:val="20"/>
        </w:rPr>
        <w:t>posted at a facility of an entity whose business is the delivery of correspondence within the European</w:t>
      </w:r>
      <w:r w:rsidR="003F6EC0">
        <w:rPr>
          <w:rFonts w:ascii="Times New Roman" w:hAnsi="Times New Roman"/>
          <w:sz w:val="20"/>
        </w:rPr>
        <w:t> </w:t>
      </w:r>
      <w:r>
        <w:rPr>
          <w:rFonts w:ascii="Times New Roman" w:hAnsi="Times New Roman"/>
          <w:sz w:val="20"/>
        </w:rPr>
        <w:t>Union;</w:t>
      </w:r>
    </w:p>
    <w:p w14:paraId="45D37986"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sz w:val="20"/>
        </w:rPr>
        <w:t>posted at a Polish consular office;</w:t>
      </w:r>
    </w:p>
    <w:p w14:paraId="5CE9E4F1"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sz w:val="20"/>
        </w:rPr>
        <w:t>filed by a soldier, except for a soldier performing territorial military service on-call, at the command of a military unit;</w:t>
      </w:r>
    </w:p>
    <w:p w14:paraId="1400D489"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sz w:val="20"/>
        </w:rPr>
        <w:t>submitted by the person deprived of liberty to the administration of the relevant facility;</w:t>
      </w:r>
    </w:p>
    <w:p w14:paraId="7EE63D38" w14:textId="77777777" w:rsidR="00805C96" w:rsidRPr="00885058"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rPr>
      </w:pPr>
      <w:r>
        <w:rPr>
          <w:rFonts w:ascii="Times New Roman" w:hAnsi="Times New Roman"/>
          <w:sz w:val="20"/>
        </w:rPr>
        <w:t>submitted by a member of the crew of a Polish seagoing vessel to the ship’s captain (Article 124).</w:t>
      </w:r>
    </w:p>
    <w:p w14:paraId="61C7890C"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3EE18D5E"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6DF91A39"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086FFD10" w14:textId="77777777" w:rsidR="00805C96" w:rsidRPr="00805C96"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x-none" w:eastAsia="x-none"/>
        </w:rPr>
      </w:pPr>
    </w:p>
    <w:p w14:paraId="4B4C0822" w14:textId="77777777" w:rsidR="00805C96" w:rsidRPr="00805C96"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rPr>
      </w:pPr>
      <w:r>
        <w:rPr>
          <w:rFonts w:ascii="Times New Roman" w:hAnsi="Times New Roman"/>
          <w:sz w:val="12"/>
        </w:rPr>
        <w:t>select the correct phrase;</w:t>
      </w:r>
    </w:p>
    <w:p w14:paraId="3EE0D878" w14:textId="77777777" w:rsidR="00805C96" w:rsidRPr="00805C96"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rPr>
      </w:pPr>
      <w:r>
        <w:rPr>
          <w:rFonts w:ascii="Times New Roman" w:hAnsi="Times New Roman"/>
          <w:sz w:val="12"/>
        </w:rPr>
        <w:t>provisions in parentheses refer to the relevant articles of the Act of 6 June 1997 on the Code of Criminal Procedure (Journal of Laws of 2018, item 1987, as amended).</w:t>
      </w:r>
    </w:p>
    <w:p w14:paraId="46F7D35A" w14:textId="52DD3E72" w:rsidR="006A349A" w:rsidRDefault="00805C96" w:rsidP="00805C96">
      <w:r w:rsidRPr="00805C96">
        <w:rPr>
          <w:rFonts w:ascii="Times New Roman" w:hAnsi="Times New Roman" w:cs="Times New Roman"/>
          <w:color w:val="000000"/>
          <w:sz w:val="18"/>
        </w:rPr>
        <w:fldChar w:fldCharType="begin"/>
      </w:r>
      <w:r w:rsidRPr="00805C96">
        <w:rPr>
          <w:rFonts w:ascii="Times New Roman" w:hAnsi="Times New Roman" w:cs="Times New Roman"/>
          <w:color w:val="000000"/>
          <w:sz w:val="18"/>
        </w:rPr>
        <w:instrText xml:space="preserve"> {KONIEC} </w:instrText>
      </w:r>
      <w:r w:rsidRPr="00805C96">
        <w:rPr>
          <w:rFonts w:ascii="Times New Roman" w:hAnsi="Times New Roman" w:cs="Times New Roman"/>
          <w:color w:val="000000"/>
          <w:sz w:val="18"/>
        </w:rPr>
        <w:fldChar w:fldCharType="separate"/>
      </w:r>
      <w:r w:rsidRPr="00805C96">
        <w:rPr>
          <w:rFonts w:ascii="Times New Roman" w:hAnsi="Times New Roman" w:cs="Times New Roman"/>
          <w:color w:val="000000"/>
          <w:sz w:val="18"/>
        </w:rPr>
        <w:t xml:space="preserve"> </w:t>
      </w:r>
      <w:r w:rsidRPr="00805C96">
        <w:rPr>
          <w:rFonts w:ascii="Times New Roman" w:hAnsi="Times New Roman" w:cs="Times New Roman"/>
          <w:color w:val="000000"/>
          <w:sz w:val="18"/>
        </w:rPr>
        <w:fldChar w:fldCharType="end"/>
      </w:r>
    </w:p>
    <w:sectPr w:rsidR="006A34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FB7CF" w14:textId="77777777" w:rsidR="003D4657" w:rsidRDefault="003D4657" w:rsidP="003D4657">
      <w:pPr>
        <w:spacing w:after="0" w:line="240" w:lineRule="auto"/>
      </w:pPr>
      <w:r>
        <w:separator/>
      </w:r>
    </w:p>
  </w:endnote>
  <w:endnote w:type="continuationSeparator" w:id="0">
    <w:p w14:paraId="28EDDB9B" w14:textId="77777777" w:rsidR="003D4657" w:rsidRDefault="003D4657" w:rsidP="003D4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65C3" w14:textId="77777777" w:rsidR="003D4657" w:rsidRDefault="003D4657" w:rsidP="003D4657">
      <w:pPr>
        <w:spacing w:after="0" w:line="240" w:lineRule="auto"/>
      </w:pPr>
      <w:r>
        <w:separator/>
      </w:r>
    </w:p>
  </w:footnote>
  <w:footnote w:type="continuationSeparator" w:id="0">
    <w:p w14:paraId="708A377D" w14:textId="77777777" w:rsidR="003D4657" w:rsidRDefault="003D4657" w:rsidP="003D4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num w:numId="1" w16cid:durableId="1399858451">
    <w:abstractNumId w:val="0"/>
  </w:num>
  <w:num w:numId="2" w16cid:durableId="759985410">
    <w:abstractNumId w:val="1"/>
  </w:num>
  <w:num w:numId="3" w16cid:durableId="136309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7A41"/>
    <w:rsid w:val="001467A4"/>
    <w:rsid w:val="00177175"/>
    <w:rsid w:val="001E1103"/>
    <w:rsid w:val="001E352E"/>
    <w:rsid w:val="003D4657"/>
    <w:rsid w:val="003F6EC0"/>
    <w:rsid w:val="006164A0"/>
    <w:rsid w:val="006A349A"/>
    <w:rsid w:val="00737A41"/>
    <w:rsid w:val="00805C96"/>
    <w:rsid w:val="00885058"/>
    <w:rsid w:val="00FF16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18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D46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4657"/>
  </w:style>
  <w:style w:type="paragraph" w:styleId="Stopka">
    <w:name w:val="footer"/>
    <w:basedOn w:val="Normalny"/>
    <w:link w:val="StopkaZnak"/>
    <w:uiPriority w:val="99"/>
    <w:unhideWhenUsed/>
    <w:rsid w:val="003D46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4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1279</Words>
  <Characters>5999</Characters>
  <Application>Microsoft Office Word</Application>
  <DocSecurity>0</DocSecurity>
  <Lines>84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2026-03-19T11:41:00Z</dcterms:created>
  <dcterms:modified xsi:type="dcterms:W3CDTF">2026-03-19T11:41:00Z</dcterms:modified>
</cp:coreProperties>
</file>